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für eine geringfügige Beschäftigung (Minijob)</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w:t>
      </w:r>
    </w:p>
    <w:p>
      <w:r>
        <w:t>zwischen</w:t>
      </w:r>
    </w:p>
    <w:p>
      <w:r>
        <w:rPr>
          <w:highlight w:val="yellow"/>
        </w:rPr>
        <w:t>[Firmenname, Rechtsform]</w:t>
      </w:r>
      <w:r>
        <w:t xml:space="preserve">, </w:t>
      </w:r>
      <w:r>
        <w:rPr>
          <w:highlight w:val="yellow"/>
        </w:rPr>
        <w:t>[Straße, Hausnummer]</w:t>
      </w:r>
      <w:r>
        <w:t xml:space="preserve">, </w:t>
      </w:r>
      <w:r>
        <w:rPr>
          <w:highlight w:val="yellow"/>
        </w:rPr>
        <w:t>[PLZ Ort]</w:t>
      </w:r>
      <w:r>
        <w:t xml:space="preserve">, vertreten durch </w:t>
      </w:r>
      <w:r>
        <w:rPr>
          <w:highlight w:val="yellow"/>
        </w:rPr>
        <w:t>[Vor- und Nachname, Funktion]</w:t>
      </w:r>
    </w:p>
    <w:p>
      <w:r>
        <w:t>– nachfolgend „Arbeitgeber“ –</w:t>
      </w:r>
    </w:p>
    <w:p>
      <w:r>
        <w:t>und</w:t>
      </w:r>
    </w:p>
    <w:p>
      <w:r>
        <w:rPr>
          <w:highlight w:val="yellow"/>
        </w:rPr>
        <w:t>[Vor- und Nachname]</w:t>
      </w:r>
      <w:r>
        <w:t xml:space="preserve">, </w:t>
      </w:r>
      <w:r>
        <w:rPr>
          <w:highlight w:val="yellow"/>
        </w:rPr>
        <w:t>[Straße, Hausnummer]</w:t>
      </w:r>
      <w:r>
        <w:t xml:space="preserve">, </w:t>
      </w:r>
      <w:r>
        <w:rPr>
          <w:highlight w:val="yellow"/>
        </w:rPr>
        <w:t>[PLZ Ort]</w:t>
      </w:r>
      <w:r>
        <w:t xml:space="preserve">, geboren am </w:t>
      </w:r>
      <w:r>
        <w:rPr>
          <w:highlight w:val="yellow"/>
        </w:rPr>
        <w:t>[Datum]</w:t>
      </w:r>
    </w:p>
    <w:p>
      <w:r>
        <w:t>– nachfolgend „Arbeitnehmer:in“ –</w:t>
      </w:r>
    </w:p>
    <w:p>
      <w:r>
        <w:t>wird folgender Arbeitsvertrag geschlossen:</w:t>
      </w:r>
    </w:p>
    <w:p>
      <w:pPr>
        <w:pStyle w:val="Heading2"/>
      </w:pPr>
      <w:r>
        <w:t>§ 1 Beginn und Probezeit</w:t>
      </w:r>
    </w:p>
    <w:p>
      <w:r>
        <w:t xml:space="preserve">(1) Das Arbeitsverhältnis beginnt am </w:t>
      </w:r>
      <w:r>
        <w:rPr>
          <w:highlight w:val="yellow"/>
        </w:rPr>
        <w:t>[Datum]</w:t>
      </w:r>
      <w:r>
        <w:t xml:space="preserve"> und wird auf unbestimmte Zeit geschlossen.</w:t>
      </w:r>
    </w:p>
    <w:p>
      <w:r>
        <w:t xml:space="preserve">(2) Die ersten </w:t>
      </w:r>
      <w:r>
        <w:rPr>
          <w:highlight w:val="yellow"/>
        </w:rPr>
        <w:t>[sechs]</w:t>
      </w:r>
      <w:r>
        <w:t xml:space="preserve"> Monate gelten als Probezeit. Während der Probezeit kann das Arbeitsverhältnis von beiden Seiten mit einer Frist von zwei Wochen gekündigt werden (§ 622 Abs. 3 BGB).</w:t>
      </w:r>
    </w:p>
    <w:p>
      <w:pPr>
        <w:pStyle w:val="Heading2"/>
      </w:pPr>
      <w:r>
        <w:t>§ 2 Tätigkeit und Arbeitsort</w:t>
      </w:r>
    </w:p>
    <w:p>
      <w:r>
        <w:t xml:space="preserve">(1) Arbeitnehmer:in wird als </w:t>
      </w:r>
      <w:r>
        <w:rPr>
          <w:highlight w:val="yellow"/>
        </w:rPr>
        <w:t>[Stellenbezeichnung]</w:t>
      </w:r>
      <w:r>
        <w:t xml:space="preserve"> eingestellt. Zu den Aufgaben gehören insbesondere: </w:t>
      </w:r>
      <w:r>
        <w:rPr>
          <w:highlight w:val="yellow"/>
        </w:rPr>
        <w:t>[kurze Beschreibung der Tätigkeit]</w:t>
      </w:r>
      <w:r>
        <w:t>.</w:t>
      </w:r>
    </w:p>
    <w:p>
      <w:r>
        <w:t xml:space="preserve">(2) Arbeitsort ist </w:t>
      </w:r>
      <w:r>
        <w:rPr>
          <w:highlight w:val="yellow"/>
        </w:rPr>
        <w:t>[Anschrift des Betriebs]</w:t>
      </w:r>
      <w:r>
        <w:t xml:space="preserve">. </w:t>
      </w:r>
      <w:r>
        <w:rPr>
          <w:highlight w:val="yellow"/>
        </w:rPr>
        <w:t>[Optional: Nach Absprache kann Arbeitnehmer:in die Arbeit auch mobil bzw. im Homeoffice erbringen.]</w:t>
      </w:r>
      <w:r>
        <w:t xml:space="preserve"> </w:t>
      </w:r>
      <w:r>
        <w:rPr>
          <w:highlight w:val="yellow"/>
        </w:rPr>
        <w:t>[Alternativ: Arbeitnehmer:in wird an verschiedenen Orten eingesetzt, insbesondere: …]</w:t>
      </w:r>
    </w:p>
    <w:p>
      <w:r>
        <w:t>(3) Der Arbeitgeber kann Arbeitnehmer:in im Rahmen des § 106 GewO auch andere zumutbare, gleichwertige Tätigkeiten zuweisen, die den Kenntnissen und Fähigkeiten entsprechen.</w:t>
      </w:r>
    </w:p>
    <w:p>
      <w:pPr>
        <w:pStyle w:val="Heading2"/>
      </w:pPr>
      <w:r>
        <w:t>§ 3 Arbeitszeit</w:t>
      </w:r>
    </w:p>
    <w:p>
      <w:r>
        <w:t xml:space="preserve">(1) Die regelmäßige Arbeitszeit beträgt </w:t>
      </w:r>
      <w:r>
        <w:rPr>
          <w:highlight w:val="yellow"/>
        </w:rPr>
        <w:t>[10]</w:t>
      </w:r>
      <w:r>
        <w:t xml:space="preserve"> Stunden pro Woche bzw. </w:t>
      </w:r>
      <w:r>
        <w:rPr>
          <w:highlight w:val="yellow"/>
        </w:rPr>
        <w:t>[43]</w:t>
      </w:r>
      <w:r>
        <w:t xml:space="preserve"> Stunden pro Monat. Lage und Verteilung: </w:t>
      </w:r>
      <w:r>
        <w:rPr>
          <w:highlight w:val="yellow"/>
        </w:rPr>
        <w:t>[z. B. dienstags und donnerstags von 9 bis 14 Uhr]</w:t>
      </w:r>
      <w:r>
        <w:t xml:space="preserve">. Beginn und Ende der täglichen Arbeitszeit richten sich nach den betrieblichen Regelungen </w:t>
      </w:r>
      <w:r>
        <w:rPr>
          <w:highlight w:val="yellow"/>
        </w:rPr>
        <w:t>[bzw. dem Dienstplan]</w:t>
      </w:r>
      <w:r>
        <w:t>.</w:t>
      </w:r>
    </w:p>
    <w:p>
      <w:r>
        <w:t xml:space="preserve">(2) Es gelten die gesetzlichen Ruhepausen: mindestens 30 Minuten bei mehr als sechs bis zu neun Stunden und 45 Minuten bei mehr als neun Stunden Arbeitszeit (§ 4 ArbZG). </w:t>
      </w:r>
      <w:r>
        <w:rPr>
          <w:highlight w:val="yellow"/>
        </w:rPr>
        <w:t>[Vereinbarte Pausenzeiten: …]</w:t>
      </w:r>
      <w:r>
        <w:t xml:space="preserve"> Nach Ende der täglichen Arbeitszeit ist eine ununterbrochene Ruhezeit von mindestens elf Stunden einzuhalten (§ 5 ArbZG).</w:t>
      </w:r>
    </w:p>
    <w:p>
      <w:r>
        <w:t xml:space="preserve">(3) </w:t>
      </w:r>
      <w:r>
        <w:rPr>
          <w:highlight w:val="yellow"/>
        </w:rPr>
        <w:t>[Schichtarbeit ist nicht vereinbart.]</w:t>
      </w:r>
      <w:r>
        <w:t xml:space="preserve"> </w:t>
      </w:r>
      <w:r>
        <w:rPr>
          <w:highlight w:val="yellow"/>
        </w:rPr>
        <w:t>[Alternativ: Arbeitnehmer:in arbeitet im [Zwei-/Dreischicht]</w:t>
      </w:r>
      <w:r>
        <w:t xml:space="preserve">-System im Rhythmus </w:t>
      </w:r>
      <w:r>
        <w:rPr>
          <w:highlight w:val="yellow"/>
        </w:rPr>
        <w:t>[z. B. wöchentlicher Wechsel Früh-/Spätschicht]</w:t>
      </w:r>
      <w:r>
        <w:t xml:space="preserve">. Schichtänderungen sind möglich, wenn </w:t>
      </w:r>
      <w:r>
        <w:rPr>
          <w:highlight w:val="yellow"/>
        </w:rPr>
        <w:t>[Voraussetzungen, z. B. Ankündigung mindestens vier Tage im Voraus]</w:t>
      </w:r>
      <w:r>
        <w:t>.]</w:t>
      </w:r>
    </w:p>
    <w:p>
      <w:r>
        <w:t>(4) Mehrarbeit wird nur im Einvernehmen geleistet und nur so weit, dass das monatliche Arbeitsentgelt die Geringfügigkeitsgrenze regelmäßig nicht übersteigt (§ 8 Abs. 1 Nr. 1 SGB IV).</w:t>
      </w:r>
    </w:p>
    <w:p>
      <w:r>
        <w:t xml:space="preserve">(5) </w:t>
      </w:r>
      <w:r>
        <w:rPr>
          <w:highlight w:val="yellow"/>
        </w:rPr>
        <w:t>[Arbeit auf Abruf ist nicht vereinbart.]</w:t>
      </w:r>
      <w:r>
        <w:t xml:space="preserve"> </w:t>
      </w:r>
      <w:r>
        <w:rPr>
          <w:highlight w:val="yellow"/>
        </w:rPr>
        <w:t>[Falls Arbeit auf Abruf nach § 12 TzBfG vereinbart wird: Arbeitnehmer:in erbringt die Arbeitsleistung entsprechend dem Arbeitsanfall. Vergütet werden mindestens [Zahl]</w:t>
      </w:r>
      <w:r>
        <w:t xml:space="preserve"> Stunden pro </w:t>
      </w:r>
      <w:r>
        <w:rPr>
          <w:highlight w:val="yellow"/>
        </w:rPr>
        <w:t>[Woche]</w:t>
      </w:r>
      <w:r>
        <w:t xml:space="preserve">. Die Arbeit wird innerhalb von </w:t>
      </w:r>
      <w:r>
        <w:rPr>
          <w:highlight w:val="yellow"/>
        </w:rPr>
        <w:t>[Referenztage und -stunden, z. B. Montag bis Freitag zwischen 8 und 18 Uhr]</w:t>
      </w:r>
      <w:r>
        <w:t xml:space="preserve"> abgerufen; die Lage der Arbeitszeit wird mindestens vier Tage im Voraus mitgeteilt.]</w:t>
      </w:r>
    </w:p>
    <w:p>
      <w:pPr>
        <w:pStyle w:val="Heading2"/>
      </w:pPr>
      <w:r>
        <w:t>§ 4 Vergütung</w:t>
      </w:r>
    </w:p>
    <w:p>
      <w:r>
        <w:t xml:space="preserve">(1) Arbeitnehmer:in erhält einen Stundenlohn von </w:t>
      </w:r>
      <w:r>
        <w:rPr>
          <w:highlight w:val="yellow"/>
        </w:rPr>
        <w:t>[Betrag]</w:t>
      </w:r>
      <w:r>
        <w:t xml:space="preserve"> Euro brutto, mindestens den jeweils geltenden gesetzlichen Mindestlohn (ab 1. Januar 2026: 13,90 Euro, ab 1. Januar 2027: 14,60 Euro, § 1 MiLoV). Das monatliche Arbeitsentgelt überschreitet die Geringfügigkeitsgrenze regelmäßig nicht (2026: 603 Euro, 2027: 633 Euro, § 8 Abs. 1a SGB IV).</w:t>
      </w:r>
    </w:p>
    <w:p>
      <w:r>
        <w:t xml:space="preserve">(2) Die Vergütung ist jeweils am </w:t>
      </w:r>
      <w:r>
        <w:rPr>
          <w:highlight w:val="yellow"/>
        </w:rPr>
        <w:t>[letzten Bankarbeitstag]</w:t>
      </w:r>
      <w:r>
        <w:t xml:space="preserve"> des Kalendermonats fällig und wird bargeldlos auf ein von Arbeitnehmer:in benanntes Konto überwiesen.</w:t>
      </w:r>
    </w:p>
    <w:p>
      <w:r>
        <w:t xml:space="preserve">(3) Angeordnete Überstunden bzw. Mehrarbeit werden </w:t>
      </w:r>
      <w:r>
        <w:rPr>
          <w:highlight w:val="yellow"/>
        </w:rPr>
        <w:t>[mit dem anteiligen Stundenlohn vergütet]</w:t>
      </w:r>
      <w:r>
        <w:t xml:space="preserve"> </w:t>
      </w:r>
      <w:r>
        <w:rPr>
          <w:highlight w:val="yellow"/>
        </w:rPr>
        <w:t>[alternativ: innerhalb von [drei]</w:t>
      </w:r>
      <w:r>
        <w:t xml:space="preserve"> Monaten durch bezahlte Freizeit ausgeglichen].</w:t>
      </w:r>
    </w:p>
    <w:p>
      <w:r>
        <w:t xml:space="preserve">(4) Weitere Bestandteile des Arbeitsentgelts, jeweils mit Höhe und Fälligkeit: </w:t>
      </w:r>
      <w:r>
        <w:rPr>
          <w:highlight w:val="yellow"/>
        </w:rPr>
        <w:t>[Zuschläge: …]</w:t>
      </w:r>
      <w:r>
        <w:t xml:space="preserve"> </w:t>
      </w:r>
      <w:r>
        <w:rPr>
          <w:highlight w:val="yellow"/>
        </w:rPr>
        <w:t>[Zulagen: …]</w:t>
      </w:r>
      <w:r>
        <w:t xml:space="preserve"> </w:t>
      </w:r>
      <w:r>
        <w:rPr>
          <w:highlight w:val="yellow"/>
        </w:rPr>
        <w:t>[Prämien/Boni: …]</w:t>
      </w:r>
      <w:r>
        <w:t xml:space="preserve"> </w:t>
      </w:r>
      <w:r>
        <w:rPr>
          <w:highlight w:val="yellow"/>
        </w:rPr>
        <w:t>[Sonderzahlungen, z. B. Weihnachtsgeld: …]</w:t>
      </w:r>
      <w:r>
        <w:t xml:space="preserve"> </w:t>
      </w:r>
      <w:r>
        <w:rPr>
          <w:highlight w:val="yellow"/>
        </w:rPr>
        <w:t>[Sachbezüge: …]</w:t>
      </w:r>
      <w:r>
        <w:t xml:space="preserve"> </w:t>
      </w:r>
      <w:r>
        <w:rPr>
          <w:highlight w:val="yellow"/>
        </w:rPr>
        <w:t>[Falls keine: Weitere Entgeltbestandteile sind nicht vereinbart.]</w:t>
      </w:r>
    </w:p>
    <w:p>
      <w:pPr>
        <w:pStyle w:val="Heading2"/>
      </w:pPr>
      <w:r>
        <w:t>§ 5 Urlaub</w:t>
      </w:r>
    </w:p>
    <w:p>
      <w:r>
        <w:t xml:space="preserve">(1) Arbeitnehmer:in hat Anspruch auf </w:t>
      </w:r>
      <w:r>
        <w:rPr>
          <w:highlight w:val="yellow"/>
        </w:rPr>
        <w:t>[Zahl]</w:t>
      </w:r>
      <w:r>
        <w:t xml:space="preserve"> Arbeitstage bezahlten Erholungsurlaub im Kalenderjahr bei einer Verteilung der Arbeitszeit auf </w:t>
      </w:r>
      <w:r>
        <w:rPr>
          <w:highlight w:val="yellow"/>
        </w:rPr>
        <w:t>[Zahl]</w:t>
      </w:r>
      <w:r>
        <w:t xml:space="preserve"> Tage pro Woche. Der Anspruch berechnet sich anteilig: Urlaubstage bei Vollzeit × Arbeitstage pro Woche ÷ 5 (gesetzlicher Mindesturlaub nach § 3 BUrlG: 24 Werktage bei einer Sechs-Tage-Woche, also z. B. 12 Tage bei drei Arbeitstagen pro Woche).</w:t>
      </w:r>
    </w:p>
    <w:p>
      <w:r>
        <w:t>(2) Bei der Gewährung von Urlaub wird zuerst der gesetzliche Mindesturlaub angerechnet. Im Übrigen gilt das Bundesurlaubsgesetz. Im Ein- und Austrittsjahr besteht der Anspruch nach Maßgabe des Bundesurlaubsgesetzes anteilig.</w:t>
      </w:r>
    </w:p>
    <w:p>
      <w:pPr>
        <w:pStyle w:val="Heading2"/>
      </w:pPr>
      <w:r>
        <w:t>§ 6 Arbeitsverhinderung und Entgeltfortzahlung</w:t>
      </w:r>
    </w:p>
    <w:p>
      <w:r>
        <w:t>(1) Arbeitnehmer:in teilt dem Arbeitgeber jede Arbeitsverhinderung und ihre voraussichtliche Dauer unverzüglich mit.</w:t>
      </w:r>
    </w:p>
    <w:p>
      <w:r>
        <w:t xml:space="preserve">(2) Dauert eine Arbeitsunfähigkeit länger als drei Kalendertage, lässt Arbeitnehmer:in deren Bestehen und voraussichtliche Dauer spätestens an dem darauffolgenden Arbeitstag ärztlich feststellen (§ 5 EntgFG). Bei gesetzlich Versicherten ruft der Arbeitgeber die Arbeitsunfähigkeitsdaten elektronisch bei der Krankenkasse ab. </w:t>
      </w:r>
      <w:r>
        <w:rPr>
          <w:highlight w:val="yellow"/>
        </w:rPr>
        <w:t>[Der Arbeitgeber kann die Feststellung auch früher verlangen.]</w:t>
      </w:r>
    </w:p>
    <w:p>
      <w:r>
        <w:t>(3) Die Entgeltfortzahlung im Krankheitsfall richtet sich nach dem Entgeltfortzahlungsgesetz.</w:t>
      </w:r>
    </w:p>
    <w:p>
      <w:pPr>
        <w:pStyle w:val="Heading2"/>
      </w:pPr>
      <w:r>
        <w:t>§ 7 Fortbildung</w:t>
      </w:r>
    </w:p>
    <w:p>
      <w:r>
        <w:rPr>
          <w:highlight w:val="yellow"/>
        </w:rPr>
        <w:t>[Arbeitnehmer:in hat Anspruch auf folgende vom Arbeitgeber bereitgestellte Fortbildung: …]</w:t>
      </w:r>
      <w:r>
        <w:t xml:space="preserve"> </w:t>
      </w:r>
      <w:r>
        <w:rPr>
          <w:highlight w:val="yellow"/>
        </w:rPr>
        <w:t>[Alternativ: Ein Anspruch auf vom Arbeitgeber bereitgestellte Fortbildung besteht nicht. Gesetzlich oder tariflich vorgeschriebene Schulungen bleiben unberührt.]</w:t>
      </w:r>
    </w:p>
    <w:p>
      <w:pPr>
        <w:pStyle w:val="Heading2"/>
      </w:pPr>
      <w:r>
        <w:t>§ 8 Betriebliche Altersversorgung</w:t>
      </w:r>
    </w:p>
    <w:p>
      <w:r>
        <w:rPr>
          <w:highlight w:val="yellow"/>
        </w:rPr>
        <w:t>[Der Arbeitgeber sagt eine betriebliche Altersversorgung über folgenden Versorgungsträger zu: [Name und Anschrift des Versorgungsträgers]</w:t>
      </w:r>
      <w:r>
        <w:t xml:space="preserve">. Einzelheiten regelt </w:t>
      </w:r>
      <w:r>
        <w:rPr>
          <w:highlight w:val="yellow"/>
        </w:rPr>
        <w:t>[die Versorgungszusage/Betriebsvereinbarung vom …]</w:t>
      </w:r>
      <w:r>
        <w:t xml:space="preserve">.] </w:t>
      </w:r>
      <w:r>
        <w:rPr>
          <w:highlight w:val="yellow"/>
        </w:rPr>
        <w:t>[Alternativ: Eine betriebliche Altersversorgung über einen Versorgungsträger wird nicht zugesagt. Der gesetzliche Anspruch auf Entgeltumwandlung bleibt unberührt.]</w:t>
      </w:r>
    </w:p>
    <w:p>
      <w:pPr>
        <w:pStyle w:val="Heading2"/>
      </w:pPr>
      <w:r>
        <w:t>§ 9 Nebentätigkeit</w:t>
      </w:r>
    </w:p>
    <w:p>
      <w:r>
        <w:t>Arbeitnehmer:in zeigt jede entgeltliche Nebentätigkeit vor ihrer Aufnahme an. Der Arbeitgeber kann sie nur untersagen, wenn berechtigte betriebliche Interessen entgegenstehen, etwa bei einer Tätigkeit für ein Konkurrenzunternehmen oder einer Überschreitung der Höchstarbeitszeit nach dem Arbeitszeitgesetz. Wegen der Zusammenrechnung mehrerer Beschäftigungen (§ 8 Abs. 2 SGB IV) teilt Arbeitnehmer:in insbesondere jede weitere Beschäftigung, auch einen weiteren Minijob, unverzüglich mit.</w:t>
      </w:r>
    </w:p>
    <w:p>
      <w:pPr>
        <w:pStyle w:val="Heading2"/>
      </w:pPr>
      <w:r>
        <w:t>§ 10 Verschwiegenheit</w:t>
      </w:r>
    </w:p>
    <w:p>
      <w:r>
        <w:t>Arbeitnehmer:in verpflichtet sich, über Betriebs- und Geschäftsgeheimnisse sowie vertrauliche Angelegenheiten während und nach dem Ende des Arbeitsverhältnisses Stillschweigen zu bewahren.</w:t>
      </w:r>
    </w:p>
    <w:p>
      <w:pPr>
        <w:pStyle w:val="Heading2"/>
      </w:pPr>
      <w:r>
        <w:t>§ 11 Beendigung des Arbeitsverhältnisses</w:t>
      </w:r>
    </w:p>
    <w:p>
      <w:r>
        <w:t>(1) Nach Ablauf der Probezeit gelten für beide Seiten die gesetzlichen Kündigungsfristen (§ 622 Abs. 1 und 2 BGB). Verlängert sich die Kündigungsfrist für den Arbeitgeber, gilt die verlängerte Frist auch für eine Kündigung durch Arbeitnehmer:in.</w:t>
      </w:r>
    </w:p>
    <w:p>
      <w:r>
        <w:t>(2) Die Kündigung bedarf der Schriftform (§ 623 BGB), also eines eigenhändig unterschriebenen Schreibens. Die elektronische Form, etwa eine E-Mail, ist ausgeschlossen.</w:t>
      </w:r>
    </w:p>
    <w:p>
      <w:r>
        <w:t>(3) Will Arbeitnehmer:in geltend machen, dass eine Kündigung sozial ungerechtfertigt oder aus anderen Gründen rechtsunwirksam ist, muss sie bzw. er innerhalb von drei Wochen nach Zugang der schriftlichen Kündigung Klage beim Arbeitsgericht erheben (§ 4 KSchG).</w:t>
      </w:r>
    </w:p>
    <w:p>
      <w:r>
        <w:t>(4) Das Recht zur außerordentlichen Kündigung aus wichtigem Grund (§ 626 BGB) bleibt unberührt.</w:t>
      </w:r>
    </w:p>
    <w:p>
      <w:r>
        <w:t>(5) Das Arbeitsverhältnis endet, ohne dass es einer Kündigung bedarf, mit Ablauf des Monats, in dem Arbeitnehmer:in die Regelaltersgrenze der gesetzlichen Rentenversicherung erreicht.</w:t>
      </w:r>
    </w:p>
    <w:p>
      <w:pPr>
        <w:pStyle w:val="Heading2"/>
      </w:pPr>
      <w:r>
        <w:t>§ 12 Tarifverträge und Betriebsvereinbarungen</w:t>
      </w:r>
    </w:p>
    <w:p>
      <w:r>
        <w:rPr>
          <w:highlight w:val="yellow"/>
        </w:rPr>
        <w:t>[Auf das Arbeitsverhältnis finden die Tarifverträge [Bezeichnung]</w:t>
      </w:r>
      <w:r>
        <w:t xml:space="preserve"> in ihrer jeweils gültigen Fassung Anwendung.] </w:t>
      </w:r>
      <w:r>
        <w:rPr>
          <w:highlight w:val="yellow"/>
        </w:rPr>
        <w:t>[Alternativ: Tarifverträge finden auf das Arbeitsverhältnis keine Anwendung.]</w:t>
      </w:r>
      <w:r>
        <w:t xml:space="preserve"> Betriebsvereinbarungen gelten </w:t>
      </w:r>
      <w:r>
        <w:rPr>
          <w:highlight w:val="yellow"/>
        </w:rPr>
        <w:t>[sofern vorhanden]</w:t>
      </w:r>
      <w:r>
        <w:t xml:space="preserve"> in ihrer jeweils gültigen Fassung.</w:t>
      </w:r>
    </w:p>
    <w:p>
      <w:pPr>
        <w:pStyle w:val="Heading2"/>
      </w:pPr>
      <w:r>
        <w:t>§ 13 Rentenversicherung</w:t>
      </w:r>
    </w:p>
    <w:p>
      <w:r>
        <w:t>Arbeitnehmer:in ist in der geringfügigen Beschäftigung grundsätzlich rentenversicherungspflichtig und kann sich auf Antrag von der Versicherungspflicht befreien lassen; der schriftliche oder elektronische Befreiungsantrag ist dem Arbeitgeber zu übergeben (§ 6 Abs. 1b SGB VI). Arbeitnehmer:in hat das Merkblatt der Minijob-Zentrale zu den Folgen einer Befreiung erhalten.</w:t>
      </w:r>
    </w:p>
    <w:p>
      <w:pPr>
        <w:pStyle w:val="Heading2"/>
      </w:pPr>
      <w:r>
        <w:t>§ 14 Datenschutz</w:t>
      </w:r>
    </w:p>
    <w:p>
      <w:r>
        <w:t>Der Arbeitgeber verarbeitet personenbezogene Daten von Arbeitnehmer:in, soweit dies für die Durchführung des Arbeitsverhältnisses erforderlich ist (Art. 6 Abs. 1 lit. b DSGVO). Die Datenschutzhinweise für Beschäftigte wurden ausgehändigt.</w:t>
      </w:r>
    </w:p>
    <w:p>
      <w:pPr>
        <w:pStyle w:val="Heading2"/>
      </w:pPr>
      <w:r>
        <w:t>§ 15 Schlussbestimmungen</w:t>
      </w:r>
    </w:p>
    <w:p>
      <w:r>
        <w:t>(1) Änderungen und Ergänzungen dieses Vertrags bedürfen der Textform. Individuelle Vertragsabreden haben Vorrang (§ 305b BGB).</w:t>
      </w:r>
    </w:p>
    <w:p>
      <w:r>
        <w:t>(2) Sollte eine Bestimmung dieses Vertrags unwirksam sein, bleibt die Wirksamkeit der übrigen Bestimmungen unberührt.</w:t>
      </w:r>
    </w:p>
    <w:p>
      <w:r>
        <w:t>(3) Arbeitnehmer:in hat eine Ausfertigung dieses Vertrags erhalten.</w:t>
      </w:r>
    </w:p>
    <w:tbl>
      <w:tblPr>
        <w:tblW w:type="auto" w:w="0"/>
        <w:tblLook w:firstColumn="1" w:firstRow="1" w:lastColumn="0" w:lastRow="0" w:noHBand="0" w:noVBand="1" w:val="04A0"/>
      </w:tblPr>
      <w:tblGrid>
        <w:gridCol w:w="4320"/>
        <w:gridCol w:w="4320"/>
      </w:tblGrid>
      <w:tr>
        <w:tc>
          <w:tcPr>
            <w:tcW w:type="dxa" w:w="4320"/>
          </w:tcPr>
          <w:p>
            <w:r>
              <w:br/>
              <w:br/>
              <w:t>_______________________________</w:t>
            </w:r>
          </w:p>
        </w:tc>
        <w:tc>
          <w:tcPr>
            <w:tcW w:type="dxa" w:w="4320"/>
          </w:tcPr>
          <w:p>
            <w:r>
              <w:br/>
              <w:br/>
              <w:t>_______________________________</w:t>
            </w:r>
          </w:p>
        </w:tc>
      </w:tr>
      <w:tr>
        <w:tc>
          <w:tcPr>
            <w:tcW w:type="dxa" w:w="4320"/>
          </w:tcPr>
          <w:p>
            <w:r>
              <w:rPr>
                <w:sz w:val="18"/>
                <w:highlight w:val="yellow"/>
              </w:rPr>
              <w:t>[Ort]</w:t>
            </w:r>
            <w:r>
              <w:rPr>
                <w:sz w:val="18"/>
              </w:rPr>
              <w:t xml:space="preserve">, </w:t>
            </w:r>
            <w:r>
              <w:rPr>
                <w:sz w:val="18"/>
                <w:highlight w:val="yellow"/>
              </w:rPr>
              <w:t>[Datum]</w:t>
            </w:r>
            <w:r>
              <w:rPr>
                <w:sz w:val="18"/>
              </w:rPr>
              <w:t xml:space="preserve">   Arbeitgeber</w:t>
            </w:r>
          </w:p>
        </w:tc>
        <w:tc>
          <w:tcPr>
            <w:tcW w:type="dxa" w:w="4320"/>
          </w:tcPr>
          <w:p>
            <w:r>
              <w:rPr>
                <w:sz w:val="18"/>
                <w:highlight w:val="yellow"/>
              </w:rPr>
              <w:t>[Ort]</w:t>
            </w:r>
            <w:r>
              <w:rPr>
                <w:sz w:val="18"/>
              </w:rPr>
              <w:t xml:space="preserve">, </w:t>
            </w:r>
            <w:r>
              <w:rPr>
                <w:sz w:val="18"/>
                <w:highlight w:val="yellow"/>
              </w:rPr>
              <w:t>[Datum]</w:t>
            </w:r>
            <w:r>
              <w:rPr>
                <w:sz w:val="18"/>
              </w:rPr>
              <w:t xml:space="preserve">   Arbeitnehmer:in</w:t>
            </w:r>
          </w:p>
        </w:tc>
      </w:tr>
    </w:tbl>
    <w:p/>
    <w:p>
      <w:pPr>
        <w:pStyle w:val="Heading2"/>
      </w:pPr>
      <w:r>
        <w:t>Hinweise zur Verwendung (vor der Unterzeichnung löschen)</w:t>
      </w:r>
    </w:p>
    <w:p>
      <w:pPr>
        <w:pStyle w:val="ListBullet"/>
      </w:pPr>
      <w:r>
        <w:t>Nachweisgesetz: Der Vertrag enthält alle Angaben nach § 2 Abs. 1 Satz 2 Nr. 1 bis 15 NachwG. Wer ihn vollständig ausgefüllt aushändigt, erfüllt damit auch die Nachweispflicht (§ 2 Abs. 5 NachwG). Fristen: Name und Anschrift, Arbeitsentgelt und Arbeitszeit spätestens am ersten Arbeitstag, Beginn, Befristung, Arbeitsort, Tätigkeit, Probezeit, Abrufarbeit und Überstunden spätestens am siebten Kalendertag, alles Übrige spätestens einen Monat nach Beginn. Verstöße sind bußgeldbewehrt (bis 2.000 Euro, § 4 NachwG).</w:t>
      </w:r>
    </w:p>
    <w:p>
      <w:pPr>
        <w:pStyle w:val="ListBullet"/>
      </w:pPr>
      <w:r>
        <w:t>Textform seit 2025: Seit dem 1. Januar 2025 darf der Vertrag in Textform (z. B. als PDF per E-Mail) übermittelt werden, wenn er für Arbeitnehmer:in zugänglich ist, gespeichert und ausgedruckt werden kann und der Arbeitgeber mit der Übermittlung zu einem Empfangsnachweis auffordert (§ 2 Abs. 1 Satz 2, Abs. 5 Satz 2 NachwG). Auf Verlangen ist der Nachweis zusätzlich schriftlich zu erteilen. Nicht zulässig ist die Textform in den Branchen nach § 2a SchwarzArbG (u. a. Bau, Gastronomie und Beherbergung, Personenbeförderung, Spedition und Logistik, Gebäudereinigung, Fleischwirtschaft, Wach- und Sicherheitsgewerbe, Friseur- und Kosmetikgewerbe).</w:t>
      </w:r>
    </w:p>
    <w:p>
      <w:pPr>
        <w:pStyle w:val="ListBullet"/>
      </w:pPr>
      <w:r>
        <w:t>Minijob: Das regelmäßige monatliche Arbeitsentgelt darf die Geringfügigkeitsgrenze nicht übersteigen (2026: 603 Euro, ab 2027: 633 Euro). Stundenlohn × Monatsstunden prüfen, vor allem bei einer Erhöhung des Mindestlohns. Die Anmeldung erfolgt bei der Minijob-Zentrale.</w:t>
      </w:r>
    </w:p>
    <w:p>
      <w:pPr>
        <w:pStyle w:val="ListBullet"/>
      </w:pPr>
      <w:r>
        <w:t>Kündigung und Aufhebungsvertrag bedürfen weiterhin der Schriftform mit eigenhändiger Unterschrift (§ 623 BGB). Prüfen Sie bei Tarifbindung, ob der Tarifvertrag abweichende Regeln zu Urlaub, Arbeitszeit, Kündigungsfristen oder Ausschlussfristen enthält.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für eine geringfügige Beschäftigung (Minijob)</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